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5145B" w14:textId="26AEDF11" w:rsidR="00B80C21" w:rsidRDefault="00FF091E">
      <w:r w:rsidRPr="00FF091E">
        <w:rPr>
          <w:noProof/>
        </w:rPr>
        <w:drawing>
          <wp:inline distT="0" distB="0" distL="0" distR="0" wp14:anchorId="1DB045BA" wp14:editId="282E683E">
            <wp:extent cx="8863330" cy="3329305"/>
            <wp:effectExtent l="0" t="0" r="0" b="4445"/>
            <wp:docPr id="211691444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91444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32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D6AC8" w14:textId="73B8B458" w:rsidR="00FF091E" w:rsidRDefault="00FF091E">
      <w:r w:rsidRPr="00FF091E">
        <w:rPr>
          <w:noProof/>
        </w:rPr>
        <w:drawing>
          <wp:inline distT="0" distB="0" distL="0" distR="0" wp14:anchorId="0FEB9C44" wp14:editId="72ED26AC">
            <wp:extent cx="8863330" cy="1920240"/>
            <wp:effectExtent l="0" t="0" r="0" b="3810"/>
            <wp:docPr id="186927225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27225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B9434" w14:textId="77777777" w:rsidR="00FF091E" w:rsidRDefault="00FF091E"/>
    <w:p w14:paraId="0E0B1D14" w14:textId="3E727596" w:rsidR="00FF091E" w:rsidRDefault="00FF091E">
      <w:r w:rsidRPr="00FF091E">
        <w:rPr>
          <w:noProof/>
        </w:rPr>
        <w:lastRenderedPageBreak/>
        <w:drawing>
          <wp:inline distT="0" distB="0" distL="0" distR="0" wp14:anchorId="4815E1B2" wp14:editId="0A803A37">
            <wp:extent cx="8852535" cy="5731510"/>
            <wp:effectExtent l="0" t="0" r="5715" b="2540"/>
            <wp:docPr id="153732457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32457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253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37FB8" w14:textId="77777777" w:rsidR="00FF091E" w:rsidRDefault="00FF091E"/>
    <w:p w14:paraId="60EEE021" w14:textId="3B9B7E36" w:rsidR="00FF091E" w:rsidRDefault="00FF091E">
      <w:pPr>
        <w:rPr>
          <w:lang w:val="en-US"/>
        </w:rPr>
      </w:pPr>
      <w:r w:rsidRPr="00D54DB1">
        <w:rPr>
          <w:b/>
          <w:bCs/>
          <w:lang w:val="en-US"/>
        </w:rPr>
        <w:t>Acute respiratory distress syndrome</w:t>
      </w:r>
      <w:r>
        <w:rPr>
          <w:lang w:val="en-US"/>
        </w:rPr>
        <w:t xml:space="preserve">: </w:t>
      </w:r>
      <w:hyperlink r:id="rId10" w:history="1">
        <w:r w:rsidRPr="006D64FE">
          <w:rPr>
            <w:rStyle w:val="Hyperlink"/>
            <w:lang w:val="en-US"/>
          </w:rPr>
          <w:t>https://jamanetwork.com/journals/jama/article-abstract/1160659</w:t>
        </w:r>
      </w:hyperlink>
    </w:p>
    <w:p w14:paraId="5EDE1235" w14:textId="5FBE1EA8" w:rsidR="00FF091E" w:rsidRDefault="00FF091E">
      <w:pPr>
        <w:rPr>
          <w:lang w:val="en-US"/>
        </w:rPr>
      </w:pPr>
      <w:r w:rsidRPr="00D54DB1">
        <w:rPr>
          <w:b/>
          <w:bCs/>
          <w:lang w:val="en-US"/>
        </w:rPr>
        <w:t>Myocardial infraction</w:t>
      </w:r>
      <w:r>
        <w:rPr>
          <w:lang w:val="en-US"/>
        </w:rPr>
        <w:t xml:space="preserve">: </w:t>
      </w:r>
      <w:hyperlink r:id="rId11" w:history="1">
        <w:r w:rsidRPr="006D64FE">
          <w:rPr>
            <w:rStyle w:val="Hyperlink"/>
            <w:lang w:val="en-US"/>
          </w:rPr>
          <w:t>http://ije.oxfordjournals.org/content/40/1/139.full</w:t>
        </w:r>
      </w:hyperlink>
    </w:p>
    <w:p w14:paraId="6F9716E7" w14:textId="762E26B2" w:rsidR="00FF091E" w:rsidRDefault="00FF091E">
      <w:pPr>
        <w:rPr>
          <w:lang w:val="en-US"/>
        </w:rPr>
      </w:pPr>
      <w:r w:rsidRPr="00D54DB1">
        <w:rPr>
          <w:b/>
          <w:bCs/>
          <w:lang w:val="en-US"/>
        </w:rPr>
        <w:t>Sepsis</w:t>
      </w:r>
      <w:r>
        <w:rPr>
          <w:lang w:val="en-US"/>
        </w:rPr>
        <w:t xml:space="preserve">: </w:t>
      </w:r>
      <w:r w:rsidRPr="00FF091E">
        <w:rPr>
          <w:lang w:val="en-US"/>
        </w:rPr>
        <w:t>Sepsis should be defined as life-threatening organ dysfunction caused by a dysregulated host response to infection. For clinical operationalization, organ dysfunction can be represented by an increase in the Sequential [Sepsis-related] Organ Failure Assessment (SOFA) score of 2 points or more, which is associated with an in-hospital mortality greater than 10%. </w:t>
      </w:r>
      <w:r>
        <w:rPr>
          <w:lang w:val="en-US"/>
        </w:rPr>
        <w:t xml:space="preserve"> </w:t>
      </w:r>
      <w:hyperlink r:id="rId12" w:history="1">
        <w:r w:rsidRPr="00FF091E">
          <w:rPr>
            <w:rStyle w:val="Hyperlink"/>
            <w:lang w:val="en-US"/>
          </w:rPr>
          <w:t>The Third International Consensus Definitions for Sepsis and Septic Shock (Sepsis-3) - PubMed</w:t>
        </w:r>
      </w:hyperlink>
    </w:p>
    <w:p w14:paraId="1C61FBF4" w14:textId="77777777" w:rsidR="00FF091E" w:rsidRDefault="00FF091E">
      <w:pPr>
        <w:rPr>
          <w:lang w:val="en-US"/>
        </w:rPr>
      </w:pPr>
    </w:p>
    <w:p w14:paraId="6C8183F7" w14:textId="77777777" w:rsidR="00D54DB1" w:rsidRDefault="00FF091E">
      <w:pPr>
        <w:rPr>
          <w:lang w:val="en-US"/>
        </w:rPr>
      </w:pPr>
      <w:r w:rsidRPr="00D54DB1">
        <w:rPr>
          <w:b/>
          <w:bCs/>
          <w:lang w:val="en-US"/>
        </w:rPr>
        <w:t>Delirium</w:t>
      </w:r>
      <w:r>
        <w:rPr>
          <w:lang w:val="en-US"/>
        </w:rPr>
        <w:t xml:space="preserve">: </w:t>
      </w:r>
      <w:r w:rsidR="00D54DB1" w:rsidRPr="00D54DB1">
        <w:rPr>
          <w:lang w:val="en-US"/>
        </w:rPr>
        <w:t xml:space="preserve">The criteria from the 'Diagnostic and Statistical Manual of Mental Disorders' 6 [DSM IV] (1994) describe delirium as: </w:t>
      </w:r>
    </w:p>
    <w:p w14:paraId="022F388B" w14:textId="6898DCAC" w:rsidR="00D54DB1" w:rsidRPr="00D54DB1" w:rsidRDefault="00D54DB1" w:rsidP="00D54DB1">
      <w:pPr>
        <w:pStyle w:val="Lijstalinea"/>
        <w:numPr>
          <w:ilvl w:val="0"/>
          <w:numId w:val="1"/>
        </w:numPr>
        <w:rPr>
          <w:lang w:val="en-US"/>
        </w:rPr>
      </w:pPr>
      <w:r w:rsidRPr="00D54DB1">
        <w:rPr>
          <w:lang w:val="en-US"/>
        </w:rPr>
        <w:t>disturbance of consciousness (i.e., reduced clarity of awareness of the  environment) with reduced ability to focus, sustain, or shift attention.</w:t>
      </w:r>
    </w:p>
    <w:p w14:paraId="6F66543E" w14:textId="77777777" w:rsidR="00D54DB1" w:rsidRDefault="00D54DB1" w:rsidP="00D54DB1">
      <w:pPr>
        <w:pStyle w:val="Lijstalinea"/>
        <w:numPr>
          <w:ilvl w:val="0"/>
          <w:numId w:val="1"/>
        </w:numPr>
        <w:rPr>
          <w:lang w:val="en-US"/>
        </w:rPr>
      </w:pPr>
      <w:r w:rsidRPr="00D54DB1">
        <w:rPr>
          <w:lang w:val="en-US"/>
        </w:rPr>
        <w:t xml:space="preserve">a change in cognition (such as memory deficit, disorientation, language disturbance) or the development of a perceptual disturbance that is not better accounted for by a pre-existing, established, or evolving dementia. </w:t>
      </w:r>
    </w:p>
    <w:p w14:paraId="32745830" w14:textId="77777777" w:rsidR="00D54DB1" w:rsidRDefault="00D54DB1" w:rsidP="00D54DB1">
      <w:pPr>
        <w:pStyle w:val="Lijstalinea"/>
        <w:numPr>
          <w:ilvl w:val="0"/>
          <w:numId w:val="1"/>
        </w:numPr>
        <w:rPr>
          <w:lang w:val="en-US"/>
        </w:rPr>
      </w:pPr>
      <w:r w:rsidRPr="00D54DB1">
        <w:rPr>
          <w:lang w:val="en-US"/>
        </w:rPr>
        <w:t xml:space="preserve"> the disturbance develops over a short period of time (usually hours to days) and tends to fluctuate during the course of the day. </w:t>
      </w:r>
    </w:p>
    <w:p w14:paraId="0E860F36" w14:textId="77777777" w:rsidR="00D54DB1" w:rsidRDefault="00D54DB1" w:rsidP="00D54DB1">
      <w:pPr>
        <w:pStyle w:val="Lijstalinea"/>
        <w:numPr>
          <w:ilvl w:val="0"/>
          <w:numId w:val="1"/>
        </w:numPr>
        <w:rPr>
          <w:lang w:val="en-US"/>
        </w:rPr>
      </w:pPr>
      <w:r w:rsidRPr="00D54DB1">
        <w:rPr>
          <w:lang w:val="en-US"/>
        </w:rPr>
        <w:t>there is evidence from the history, physical examination, and laboratory findings that:</w:t>
      </w:r>
    </w:p>
    <w:p w14:paraId="7687FDF0" w14:textId="5A25CB09" w:rsidR="00D54DB1" w:rsidRDefault="00D54DB1" w:rsidP="00D54DB1">
      <w:pPr>
        <w:pStyle w:val="Lijstalinea"/>
        <w:numPr>
          <w:ilvl w:val="0"/>
          <w:numId w:val="2"/>
        </w:numPr>
        <w:rPr>
          <w:lang w:val="en-US"/>
        </w:rPr>
      </w:pPr>
      <w:r w:rsidRPr="00D54DB1">
        <w:rPr>
          <w:lang w:val="en-US"/>
        </w:rPr>
        <w:t xml:space="preserve">the disturbance is caused by the direct physiological consequences of a general medical condition, </w:t>
      </w:r>
    </w:p>
    <w:p w14:paraId="3D69BE69" w14:textId="77777777" w:rsidR="00D54DB1" w:rsidRDefault="00D54DB1" w:rsidP="00D54DB1">
      <w:pPr>
        <w:pStyle w:val="Lijstalinea"/>
        <w:numPr>
          <w:ilvl w:val="0"/>
          <w:numId w:val="2"/>
        </w:numPr>
        <w:rPr>
          <w:lang w:val="en-US"/>
        </w:rPr>
      </w:pPr>
      <w:r w:rsidRPr="00D54DB1">
        <w:rPr>
          <w:lang w:val="en-US"/>
        </w:rPr>
        <w:t>the symptoms in criterion (</w:t>
      </w:r>
      <w:proofErr w:type="spellStart"/>
      <w:r w:rsidRPr="00D54DB1">
        <w:rPr>
          <w:lang w:val="en-US"/>
        </w:rPr>
        <w:t>i</w:t>
      </w:r>
      <w:proofErr w:type="spellEnd"/>
      <w:r w:rsidRPr="00D54DB1">
        <w:rPr>
          <w:lang w:val="en-US"/>
        </w:rPr>
        <w:t xml:space="preserve">) developed during substance intoxication, or during or shortly after, a withdrawal 18 syndrome, or </w:t>
      </w:r>
    </w:p>
    <w:p w14:paraId="32CFFA9A" w14:textId="74E62DD7" w:rsidR="00FF091E" w:rsidRPr="00D54DB1" w:rsidRDefault="00D54DB1" w:rsidP="00D54DB1">
      <w:pPr>
        <w:pStyle w:val="Lijstalinea"/>
        <w:numPr>
          <w:ilvl w:val="0"/>
          <w:numId w:val="2"/>
        </w:numPr>
        <w:rPr>
          <w:lang w:val="en-US"/>
        </w:rPr>
      </w:pPr>
      <w:r w:rsidRPr="00D54DB1">
        <w:rPr>
          <w:lang w:val="en-US"/>
        </w:rPr>
        <w:t xml:space="preserve">the delirium has more than one </w:t>
      </w:r>
      <w:proofErr w:type="spellStart"/>
      <w:r w:rsidRPr="00D54DB1">
        <w:rPr>
          <w:lang w:val="en-US"/>
        </w:rPr>
        <w:t>aetiology</w:t>
      </w:r>
      <w:proofErr w:type="spellEnd"/>
      <w:r w:rsidRPr="00D54DB1">
        <w:rPr>
          <w:lang w:val="en-US"/>
        </w:rPr>
        <w:t>”.</w:t>
      </w:r>
    </w:p>
    <w:sectPr w:rsidR="00FF091E" w:rsidRPr="00D54DB1" w:rsidSect="00FF091E"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D4BAA" w14:textId="77777777" w:rsidR="001E47C2" w:rsidRDefault="001E47C2" w:rsidP="001E47C2">
      <w:pPr>
        <w:spacing w:after="0" w:line="240" w:lineRule="auto"/>
      </w:pPr>
      <w:r>
        <w:separator/>
      </w:r>
    </w:p>
  </w:endnote>
  <w:endnote w:type="continuationSeparator" w:id="0">
    <w:p w14:paraId="408279A8" w14:textId="77777777" w:rsidR="001E47C2" w:rsidRDefault="001E47C2" w:rsidP="001E4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914A" w14:textId="49664AB3" w:rsidR="001E47C2" w:rsidRPr="001E47C2" w:rsidRDefault="001E47C2">
    <w:pPr>
      <w:pStyle w:val="Voettekst"/>
      <w:rPr>
        <w:lang w:val="en-US"/>
      </w:rPr>
    </w:pPr>
    <w:r w:rsidRPr="001E47C2">
      <w:rPr>
        <w:lang w:val="en-US"/>
      </w:rPr>
      <w:t>Source: Esodata.org</w:t>
    </w:r>
    <w:r w:rsidR="00BC3E3D">
      <w:rPr>
        <w:lang w:val="en-US"/>
      </w:rPr>
      <w:t xml:space="preserve">, </w:t>
    </w:r>
    <w:r w:rsidRPr="001E47C2">
      <w:rPr>
        <w:lang w:val="en-US"/>
      </w:rPr>
      <w:t>ISDE (International Society for Diseases of the Esophagus)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918E9" w14:textId="77777777" w:rsidR="001E47C2" w:rsidRDefault="001E47C2" w:rsidP="001E47C2">
      <w:pPr>
        <w:spacing w:after="0" w:line="240" w:lineRule="auto"/>
      </w:pPr>
      <w:r>
        <w:separator/>
      </w:r>
    </w:p>
  </w:footnote>
  <w:footnote w:type="continuationSeparator" w:id="0">
    <w:p w14:paraId="483406AB" w14:textId="77777777" w:rsidR="001E47C2" w:rsidRDefault="001E47C2" w:rsidP="001E4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3A96"/>
    <w:multiLevelType w:val="hybridMultilevel"/>
    <w:tmpl w:val="8A685774"/>
    <w:lvl w:ilvl="0" w:tplc="25B05C34">
      <w:start w:val="1"/>
      <w:numFmt w:val="lowerRoman"/>
      <w:lvlText w:val="(%1)"/>
      <w:lvlJc w:val="left"/>
      <w:pPr>
        <w:ind w:left="1485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45" w:hanging="360"/>
      </w:pPr>
    </w:lvl>
    <w:lvl w:ilvl="2" w:tplc="0413001B" w:tentative="1">
      <w:start w:val="1"/>
      <w:numFmt w:val="lowerRoman"/>
      <w:lvlText w:val="%3."/>
      <w:lvlJc w:val="right"/>
      <w:pPr>
        <w:ind w:left="2565" w:hanging="180"/>
      </w:pPr>
    </w:lvl>
    <w:lvl w:ilvl="3" w:tplc="0413000F" w:tentative="1">
      <w:start w:val="1"/>
      <w:numFmt w:val="decimal"/>
      <w:lvlText w:val="%4."/>
      <w:lvlJc w:val="left"/>
      <w:pPr>
        <w:ind w:left="3285" w:hanging="360"/>
      </w:pPr>
    </w:lvl>
    <w:lvl w:ilvl="4" w:tplc="04130019" w:tentative="1">
      <w:start w:val="1"/>
      <w:numFmt w:val="lowerLetter"/>
      <w:lvlText w:val="%5."/>
      <w:lvlJc w:val="left"/>
      <w:pPr>
        <w:ind w:left="4005" w:hanging="360"/>
      </w:pPr>
    </w:lvl>
    <w:lvl w:ilvl="5" w:tplc="0413001B" w:tentative="1">
      <w:start w:val="1"/>
      <w:numFmt w:val="lowerRoman"/>
      <w:lvlText w:val="%6."/>
      <w:lvlJc w:val="right"/>
      <w:pPr>
        <w:ind w:left="4725" w:hanging="180"/>
      </w:pPr>
    </w:lvl>
    <w:lvl w:ilvl="6" w:tplc="0413000F" w:tentative="1">
      <w:start w:val="1"/>
      <w:numFmt w:val="decimal"/>
      <w:lvlText w:val="%7."/>
      <w:lvlJc w:val="left"/>
      <w:pPr>
        <w:ind w:left="5445" w:hanging="360"/>
      </w:pPr>
    </w:lvl>
    <w:lvl w:ilvl="7" w:tplc="04130019" w:tentative="1">
      <w:start w:val="1"/>
      <w:numFmt w:val="lowerLetter"/>
      <w:lvlText w:val="%8."/>
      <w:lvlJc w:val="left"/>
      <w:pPr>
        <w:ind w:left="6165" w:hanging="360"/>
      </w:pPr>
    </w:lvl>
    <w:lvl w:ilvl="8" w:tplc="0413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8B375AB"/>
    <w:multiLevelType w:val="hybridMultilevel"/>
    <w:tmpl w:val="65BAE94E"/>
    <w:lvl w:ilvl="0" w:tplc="B992BE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158254">
    <w:abstractNumId w:val="1"/>
  </w:num>
  <w:num w:numId="2" w16cid:durableId="464812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1E"/>
    <w:rsid w:val="00075E39"/>
    <w:rsid w:val="001E47C2"/>
    <w:rsid w:val="00410756"/>
    <w:rsid w:val="007B00A4"/>
    <w:rsid w:val="007E7FD1"/>
    <w:rsid w:val="00995230"/>
    <w:rsid w:val="00A31174"/>
    <w:rsid w:val="00B76FDA"/>
    <w:rsid w:val="00B80C21"/>
    <w:rsid w:val="00BC3E3D"/>
    <w:rsid w:val="00C46C87"/>
    <w:rsid w:val="00D54DB1"/>
    <w:rsid w:val="00D65A6D"/>
    <w:rsid w:val="00FF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42F45"/>
  <w15:chartTrackingRefBased/>
  <w15:docId w15:val="{D699B319-CC81-4F78-A960-F5325872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0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0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0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0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0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0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0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0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0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0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0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0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09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09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09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09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09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09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0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0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0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0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0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09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09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09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0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09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09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F091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F091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E4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47C2"/>
  </w:style>
  <w:style w:type="paragraph" w:styleId="Voettekst">
    <w:name w:val="footer"/>
    <w:basedOn w:val="Standaard"/>
    <w:link w:val="VoettekstChar"/>
    <w:uiPriority w:val="99"/>
    <w:unhideWhenUsed/>
    <w:rsid w:val="001E4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4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ubmed.ncbi.nlm.nih.gov/2690333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je.oxfordjournals.org/content/40/1/139.ful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jamanetwork.com/journals/jama/article-abstract/116065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Grootenhuis, Justin</dc:creator>
  <cp:keywords/>
  <dc:description/>
  <cp:lastModifiedBy>Greeff, Martine de</cp:lastModifiedBy>
  <cp:revision>3</cp:revision>
  <dcterms:created xsi:type="dcterms:W3CDTF">2025-08-14T09:16:00Z</dcterms:created>
  <dcterms:modified xsi:type="dcterms:W3CDTF">2025-08-14T09:22:00Z</dcterms:modified>
</cp:coreProperties>
</file>